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1D" w:rsidRPr="00341B6B" w:rsidRDefault="0034071D" w:rsidP="0034071D">
      <w:pPr>
        <w:rPr>
          <w:rFonts w:ascii="Candara" w:hAnsi="Candara"/>
          <w:b/>
          <w:bCs/>
          <w:sz w:val="32"/>
        </w:rPr>
      </w:pPr>
      <w:r w:rsidRPr="00341B6B">
        <w:rPr>
          <w:rFonts w:ascii="Candara" w:hAnsi="Candara"/>
          <w:b/>
          <w:bCs/>
          <w:sz w:val="32"/>
        </w:rPr>
        <w:t>Setting Up BibleWorks</w:t>
      </w:r>
      <w:r>
        <w:rPr>
          <w:rFonts w:ascii="Candara" w:hAnsi="Candara"/>
          <w:b/>
          <w:bCs/>
          <w:sz w:val="32"/>
        </w:rPr>
        <w:t xml:space="preserve"> </w:t>
      </w:r>
    </w:p>
    <w:p w:rsidR="0034071D" w:rsidRDefault="0034071D" w:rsidP="0034071D">
      <w:pPr>
        <w:rPr>
          <w:rFonts w:ascii="Candara" w:hAnsi="Candara"/>
          <w:b/>
          <w:bCs/>
          <w:i/>
          <w:iCs/>
          <w:sz w:val="28"/>
        </w:rPr>
      </w:pPr>
      <w:r>
        <w:rPr>
          <w:rFonts w:ascii="Candara" w:hAnsi="Candara"/>
          <w:b/>
          <w:bCs/>
          <w:i/>
          <w:iCs/>
          <w:sz w:val="28"/>
        </w:rPr>
        <w:t>Part 5: BibleWorks Resources</w:t>
      </w:r>
    </w:p>
    <w:p w:rsidR="0034071D" w:rsidRDefault="0034071D" w:rsidP="008B3D05">
      <w:pPr>
        <w:rPr>
          <w:rFonts w:ascii="Candara" w:hAnsi="Candara"/>
        </w:rPr>
      </w:pPr>
    </w:p>
    <w:p w:rsidR="00EA0CFC" w:rsidRPr="00D25CE0" w:rsidRDefault="00EA0CFC" w:rsidP="00EA0CFC">
      <w:pPr>
        <w:rPr>
          <w:rFonts w:ascii="Candara" w:hAnsi="Candara"/>
          <w:b/>
          <w:bCs/>
        </w:rPr>
      </w:pPr>
      <w:r w:rsidRPr="00D25CE0">
        <w:rPr>
          <w:rFonts w:ascii="Candara" w:hAnsi="Candara"/>
          <w:b/>
          <w:bCs/>
        </w:rPr>
        <w:t>Setting Up Resources</w:t>
      </w:r>
    </w:p>
    <w:p w:rsidR="008B3D05" w:rsidRPr="00D25CE0" w:rsidRDefault="00D4084C" w:rsidP="00EA0CFC">
      <w:pPr>
        <w:rPr>
          <w:rFonts w:ascii="Candara" w:hAnsi="Candara"/>
          <w:i/>
          <w:iCs/>
        </w:rPr>
      </w:pPr>
      <w:r w:rsidRPr="00D25CE0">
        <w:rPr>
          <w:rFonts w:ascii="Candara" w:hAnsi="Candara"/>
        </w:rPr>
        <w:t xml:space="preserve">Move </w:t>
      </w:r>
      <w:r w:rsidR="008B3D05" w:rsidRPr="00D25CE0">
        <w:rPr>
          <w:rFonts w:ascii="Candara" w:hAnsi="Candara"/>
        </w:rPr>
        <w:t xml:space="preserve">to the right panel (called the Analysis Window) and click on the “Resources” tab. </w:t>
      </w:r>
      <w:r w:rsidR="00EA0CFC" w:rsidRPr="00D25CE0">
        <w:rPr>
          <w:rFonts w:ascii="Candara" w:hAnsi="Candara"/>
        </w:rPr>
        <w:t>You are usually going to want to have the "Summary" subtab as the foreground one. We are going to l</w:t>
      </w:r>
      <w:r w:rsidR="008B3D05" w:rsidRPr="00D25CE0">
        <w:rPr>
          <w:rFonts w:ascii="Candara" w:hAnsi="Candara"/>
        </w:rPr>
        <w:t xml:space="preserve">ook </w:t>
      </w:r>
      <w:r w:rsidR="00EA0CFC" w:rsidRPr="00D25CE0">
        <w:rPr>
          <w:rFonts w:ascii="Candara" w:hAnsi="Candara"/>
        </w:rPr>
        <w:t xml:space="preserve">at </w:t>
      </w:r>
      <w:r w:rsidR="008B3D05" w:rsidRPr="00D25CE0">
        <w:rPr>
          <w:rFonts w:ascii="Candara" w:hAnsi="Candara"/>
        </w:rPr>
        <w:t xml:space="preserve">the </w:t>
      </w:r>
      <w:r w:rsidR="00EA0CFC" w:rsidRPr="00D25CE0">
        <w:rPr>
          <w:rFonts w:ascii="Candara" w:hAnsi="Candara"/>
        </w:rPr>
        <w:t xml:space="preserve">other </w:t>
      </w:r>
      <w:r w:rsidR="008B3D05" w:rsidRPr="00D25CE0">
        <w:rPr>
          <w:rFonts w:ascii="Candara" w:hAnsi="Candara"/>
        </w:rPr>
        <w:t>sub-tabs</w:t>
      </w:r>
      <w:r w:rsidR="00EA0CFC" w:rsidRPr="00D25CE0">
        <w:rPr>
          <w:rFonts w:ascii="Candara" w:hAnsi="Candara"/>
        </w:rPr>
        <w:t xml:space="preserve"> to set up the order of resources that appear in the Summary one</w:t>
      </w:r>
      <w:r w:rsidR="008B3D05" w:rsidRPr="00D25CE0">
        <w:rPr>
          <w:rFonts w:ascii="Candara" w:hAnsi="Candara"/>
        </w:rPr>
        <w:t xml:space="preserve">. </w:t>
      </w:r>
      <w:r w:rsidR="008F0E7B" w:rsidRPr="00D25CE0">
        <w:rPr>
          <w:rFonts w:ascii="Candara" w:hAnsi="Candara"/>
          <w:i/>
          <w:iCs/>
        </w:rPr>
        <w:t xml:space="preserve">Note: You may not have all the resources that I mention. </w:t>
      </w:r>
      <w:r w:rsidR="00F6493A" w:rsidRPr="00D25CE0">
        <w:rPr>
          <w:rFonts w:ascii="Candara" w:hAnsi="Candara"/>
          <w:i/>
          <w:iCs/>
        </w:rPr>
        <w:t xml:space="preserve">Ones in </w:t>
      </w:r>
      <w:r w:rsidR="00F6493A" w:rsidRPr="00D25CE0">
        <w:rPr>
          <w:rFonts w:ascii="Candara" w:hAnsi="Candara"/>
          <w:b/>
          <w:bCs/>
          <w:i/>
          <w:iCs/>
        </w:rPr>
        <w:t>bold italic</w:t>
      </w:r>
      <w:r w:rsidR="00F6493A" w:rsidRPr="00D25CE0">
        <w:rPr>
          <w:rFonts w:ascii="Candara" w:hAnsi="Candara"/>
          <w:i/>
          <w:iCs/>
        </w:rPr>
        <w:t xml:space="preserve"> are addon modules you can buy. Italic indicates user created downloadable ones.</w:t>
      </w:r>
    </w:p>
    <w:p w:rsidR="000D52DD" w:rsidRDefault="00730A2B" w:rsidP="00222DC8">
      <w:pPr>
        <w:numPr>
          <w:ilvl w:val="0"/>
          <w:numId w:val="2"/>
        </w:numPr>
        <w:rPr>
          <w:rFonts w:ascii="Candara" w:hAnsi="Candara"/>
        </w:rPr>
      </w:pPr>
      <w:r w:rsidRPr="00D25CE0">
        <w:rPr>
          <w:rFonts w:ascii="Candara" w:hAnsi="Candara"/>
          <w:b/>
          <w:bCs/>
        </w:rPr>
        <w:t>LEXICONS</w:t>
      </w:r>
      <w:r w:rsidR="008F0E7B" w:rsidRPr="00D25CE0">
        <w:rPr>
          <w:rFonts w:ascii="Candara" w:hAnsi="Candara"/>
          <w:b/>
          <w:bCs/>
        </w:rPr>
        <w:t xml:space="preserve">: </w:t>
      </w:r>
      <w:r w:rsidR="008B3D05" w:rsidRPr="00D25CE0">
        <w:rPr>
          <w:rFonts w:ascii="Candara" w:hAnsi="Candara"/>
        </w:rPr>
        <w:t xml:space="preserve">Put the Lexicons in this order by clicking on one of the lexicons and then using the little up/down arrows at the bottom of the panel (next to “Clear All”) to move it. </w:t>
      </w:r>
      <w:r w:rsidR="008F0E7B" w:rsidRPr="00D25CE0">
        <w:rPr>
          <w:rFonts w:ascii="Candara" w:hAnsi="Candara"/>
        </w:rPr>
        <w:br/>
      </w:r>
      <w:r w:rsidRPr="00D25CE0">
        <w:rPr>
          <w:rFonts w:ascii="Candara" w:hAnsi="Candara"/>
          <w:b/>
          <w:bCs/>
        </w:rPr>
        <w:t>GREEK</w:t>
      </w:r>
      <w:r w:rsidR="008F0E7B" w:rsidRPr="00D25CE0">
        <w:rPr>
          <w:rFonts w:ascii="Candara" w:hAnsi="Candara"/>
        </w:rPr>
        <w:t xml:space="preserve">: </w:t>
      </w:r>
      <w:r w:rsidR="00F6493A" w:rsidRPr="00D25CE0">
        <w:rPr>
          <w:rFonts w:ascii="Candara" w:hAnsi="Candara"/>
        </w:rPr>
        <w:t xml:space="preserve">Gingrich, Friberg, </w:t>
      </w:r>
      <w:r w:rsidR="00F6493A" w:rsidRPr="00D25CE0">
        <w:rPr>
          <w:rFonts w:ascii="Candara" w:hAnsi="Candara"/>
          <w:b/>
          <w:bCs/>
          <w:i/>
          <w:iCs/>
        </w:rPr>
        <w:t>B</w:t>
      </w:r>
      <w:r w:rsidR="008B3D05" w:rsidRPr="00D25CE0">
        <w:rPr>
          <w:rFonts w:ascii="Candara" w:hAnsi="Candara"/>
          <w:b/>
          <w:bCs/>
          <w:i/>
          <w:iCs/>
        </w:rPr>
        <w:t>auer-Danker</w:t>
      </w:r>
      <w:r w:rsidR="00B768B4" w:rsidRPr="00D25CE0">
        <w:rPr>
          <w:rFonts w:ascii="Candara" w:hAnsi="Candara"/>
          <w:b/>
          <w:bCs/>
          <w:i/>
          <w:iCs/>
        </w:rPr>
        <w:t>=BDAG</w:t>
      </w:r>
      <w:r w:rsidR="00F6493A" w:rsidRPr="00D25CE0">
        <w:rPr>
          <w:rFonts w:ascii="Candara" w:hAnsi="Candara"/>
        </w:rPr>
        <w:t xml:space="preserve">, </w:t>
      </w:r>
      <w:r w:rsidR="00B768B4" w:rsidRPr="00D25CE0">
        <w:rPr>
          <w:rFonts w:ascii="Candara" w:hAnsi="Candara"/>
          <w:b/>
          <w:bCs/>
          <w:i/>
          <w:iCs/>
        </w:rPr>
        <w:t>Balz-Schneider=EDNT</w:t>
      </w:r>
      <w:r w:rsidR="00B768B4" w:rsidRPr="00D25CE0">
        <w:rPr>
          <w:rFonts w:ascii="Candara" w:hAnsi="Candara"/>
        </w:rPr>
        <w:t xml:space="preserve">, </w:t>
      </w:r>
      <w:r w:rsidR="008B3D05" w:rsidRPr="00D25CE0">
        <w:rPr>
          <w:rFonts w:ascii="Candara" w:hAnsi="Candara"/>
        </w:rPr>
        <w:t>Louw-Nida</w:t>
      </w:r>
      <w:r w:rsidR="00F6493A" w:rsidRPr="00D25CE0">
        <w:rPr>
          <w:rFonts w:ascii="Candara" w:hAnsi="Candara"/>
        </w:rPr>
        <w:t xml:space="preserve">, </w:t>
      </w:r>
      <w:r w:rsidR="00B768B4" w:rsidRPr="00D25CE0">
        <w:rPr>
          <w:rFonts w:ascii="Candara" w:hAnsi="Candara"/>
          <w:b/>
          <w:bCs/>
          <w:i/>
          <w:iCs/>
        </w:rPr>
        <w:t>Lust-Eynikel-Hauspie=LEH</w:t>
      </w:r>
      <w:r w:rsidR="00B768B4" w:rsidRPr="00D25CE0">
        <w:rPr>
          <w:rFonts w:ascii="Candara" w:hAnsi="Candara"/>
        </w:rPr>
        <w:t xml:space="preserve">, </w:t>
      </w:r>
      <w:r w:rsidR="008B3D05" w:rsidRPr="00D25CE0">
        <w:rPr>
          <w:rFonts w:ascii="Candara" w:hAnsi="Candara"/>
        </w:rPr>
        <w:t>Liddell-Scott</w:t>
      </w:r>
      <w:r w:rsidR="00B768B4" w:rsidRPr="00D25CE0">
        <w:rPr>
          <w:rFonts w:ascii="Candara" w:hAnsi="Candara"/>
        </w:rPr>
        <w:t xml:space="preserve"> abridged, </w:t>
      </w:r>
      <w:r w:rsidR="00B768B4" w:rsidRPr="00D25CE0">
        <w:rPr>
          <w:rFonts w:ascii="Candara" w:hAnsi="Candara"/>
          <w:b/>
          <w:bCs/>
          <w:i/>
          <w:iCs/>
        </w:rPr>
        <w:t>Liddell-Scott unabridged</w:t>
      </w:r>
      <w:r w:rsidR="00F6493A" w:rsidRPr="00D25CE0">
        <w:rPr>
          <w:rFonts w:ascii="Candara" w:hAnsi="Candara"/>
        </w:rPr>
        <w:t xml:space="preserve">, </w:t>
      </w:r>
      <w:r w:rsidR="00B768B4" w:rsidRPr="00D25CE0">
        <w:rPr>
          <w:rFonts w:ascii="Candara" w:hAnsi="Candara"/>
        </w:rPr>
        <w:t xml:space="preserve">Barclay-Newman (which you can uncheck), Moulton-Milligan, </w:t>
      </w:r>
      <w:r w:rsidR="008B3D05" w:rsidRPr="00D25CE0">
        <w:rPr>
          <w:rFonts w:ascii="Candara" w:hAnsi="Candara"/>
        </w:rPr>
        <w:t xml:space="preserve">Thayer, </w:t>
      </w:r>
      <w:r w:rsidR="00B768B4" w:rsidRPr="00D25CE0">
        <w:rPr>
          <w:rFonts w:ascii="Candara" w:hAnsi="Candara"/>
        </w:rPr>
        <w:t>Kittel-Bromiley = abridged TDNT, Preuschen (uncheck unless you want German).</w:t>
      </w:r>
      <w:r w:rsidR="002A795D" w:rsidRPr="00D25CE0">
        <w:rPr>
          <w:rFonts w:ascii="Candara" w:hAnsi="Candara"/>
        </w:rPr>
        <w:br/>
      </w:r>
      <w:r w:rsidR="002A795D" w:rsidRPr="00D25CE0">
        <w:rPr>
          <w:rFonts w:ascii="Candara" w:hAnsi="Candara"/>
          <w:i/>
          <w:iCs/>
          <w:sz w:val="20"/>
          <w:szCs w:val="20"/>
        </w:rPr>
        <w:t xml:space="preserve">Note: BDAG </w:t>
      </w:r>
      <w:r w:rsidR="00222DC8" w:rsidRPr="00D25CE0">
        <w:rPr>
          <w:rFonts w:ascii="Candara" w:hAnsi="Candara"/>
          <w:i/>
          <w:iCs/>
          <w:sz w:val="20"/>
          <w:szCs w:val="20"/>
        </w:rPr>
        <w:t xml:space="preserve">is the most respected lexicon for the Greek NT, but Balz-Schneider is also extremely helpful. (Both are separate purchases for BW.) GING (unfortunately, it is the 1965 and not the 2009 edition) is a condensed version of BDAG and is a quick way of seeing a word’s range of meanings. Do consult Friberg and Louw-Nida as well. </w:t>
      </w:r>
      <w:r w:rsidR="00F6493A" w:rsidRPr="00D25CE0">
        <w:rPr>
          <w:rFonts w:ascii="Candara" w:hAnsi="Candara"/>
          <w:b/>
          <w:bCs/>
        </w:rPr>
        <w:br/>
      </w:r>
      <w:r w:rsidRPr="00D25CE0">
        <w:rPr>
          <w:rFonts w:ascii="Candara" w:hAnsi="Candara"/>
          <w:b/>
          <w:bCs/>
        </w:rPr>
        <w:t>HEBREW</w:t>
      </w:r>
      <w:r w:rsidR="00F6493A" w:rsidRPr="00D25CE0">
        <w:rPr>
          <w:rFonts w:ascii="Candara" w:hAnsi="Candara"/>
        </w:rPr>
        <w:t xml:space="preserve">: </w:t>
      </w:r>
      <w:r w:rsidR="00B768B4" w:rsidRPr="00D25CE0">
        <w:rPr>
          <w:rFonts w:ascii="Candara" w:hAnsi="Candara"/>
        </w:rPr>
        <w:t>Koehler-Baumgartner</w:t>
      </w:r>
      <w:r w:rsidRPr="00D25CE0">
        <w:rPr>
          <w:rFonts w:ascii="Candara" w:hAnsi="Candara"/>
        </w:rPr>
        <w:t>=HALOT</w:t>
      </w:r>
      <w:r w:rsidR="00B768B4" w:rsidRPr="00D25CE0">
        <w:rPr>
          <w:rFonts w:ascii="Candara" w:hAnsi="Candara"/>
        </w:rPr>
        <w:t xml:space="preserve">, </w:t>
      </w:r>
      <w:r w:rsidR="008B3D05" w:rsidRPr="00D25CE0">
        <w:rPr>
          <w:rFonts w:ascii="Candara" w:hAnsi="Candara"/>
        </w:rPr>
        <w:t>Holladay, Brown</w:t>
      </w:r>
      <w:r w:rsidRPr="00D25CE0">
        <w:rPr>
          <w:rFonts w:ascii="Candara" w:hAnsi="Candara"/>
        </w:rPr>
        <w:t>=BDB</w:t>
      </w:r>
      <w:r w:rsidR="008B3D05" w:rsidRPr="00D25CE0">
        <w:rPr>
          <w:rFonts w:ascii="Candara" w:hAnsi="Candara"/>
        </w:rPr>
        <w:t>, Harris</w:t>
      </w:r>
      <w:r w:rsidRPr="00D25CE0">
        <w:rPr>
          <w:rFonts w:ascii="Candara" w:hAnsi="Candara"/>
        </w:rPr>
        <w:t>=TWOT, Klett</w:t>
      </w:r>
      <w:r w:rsidR="002A795D" w:rsidRPr="00D25CE0">
        <w:rPr>
          <w:rFonts w:ascii="Candara" w:hAnsi="Candara"/>
        </w:rPr>
        <w:t xml:space="preserve"> </w:t>
      </w:r>
      <w:r w:rsidRPr="00D25CE0">
        <w:rPr>
          <w:rFonts w:ascii="Candara" w:hAnsi="Candara"/>
        </w:rPr>
        <w:t>(uncheck unless you want German)</w:t>
      </w:r>
      <w:r w:rsidR="008B3D05" w:rsidRPr="00D25CE0">
        <w:rPr>
          <w:rFonts w:ascii="Candara" w:hAnsi="Candara"/>
        </w:rPr>
        <w:t>.</w:t>
      </w:r>
      <w:r w:rsidR="002A795D" w:rsidRPr="00D25CE0">
        <w:rPr>
          <w:rFonts w:ascii="Candara" w:hAnsi="Candara"/>
        </w:rPr>
        <w:t xml:space="preserve"> </w:t>
      </w:r>
      <w:r w:rsidR="002A795D" w:rsidRPr="00D25CE0">
        <w:rPr>
          <w:rFonts w:ascii="Candara" w:hAnsi="Candara"/>
        </w:rPr>
        <w:br/>
      </w:r>
      <w:r w:rsidR="002A795D" w:rsidRPr="00D25CE0">
        <w:rPr>
          <w:rFonts w:ascii="Candara" w:hAnsi="Candara"/>
          <w:i/>
          <w:iCs/>
          <w:sz w:val="20"/>
          <w:szCs w:val="20"/>
        </w:rPr>
        <w:t>Note:</w:t>
      </w:r>
      <w:r w:rsidR="00222DC8" w:rsidRPr="00D25CE0">
        <w:rPr>
          <w:rFonts w:ascii="Candara" w:hAnsi="Candara"/>
          <w:i/>
          <w:iCs/>
          <w:sz w:val="20"/>
          <w:szCs w:val="20"/>
        </w:rPr>
        <w:t xml:space="preserve"> HALOT (purchased separately for BW) is probably the definitive Hebrew lexicon, and Holladay is a condensed version of it. BDB was and remains a standard lexicon, so you may wish to prioritize it over Holladay.</w:t>
      </w:r>
      <w:r w:rsidRPr="00D25CE0">
        <w:rPr>
          <w:rFonts w:ascii="Candara" w:hAnsi="Candara"/>
        </w:rPr>
        <w:br/>
      </w:r>
      <w:r w:rsidR="002A795D" w:rsidRPr="00D25CE0">
        <w:rPr>
          <w:rFonts w:ascii="Candara" w:hAnsi="Candara"/>
        </w:rPr>
        <w:br/>
      </w:r>
      <w:r w:rsidRPr="00D25CE0">
        <w:rPr>
          <w:rFonts w:ascii="Candara" w:hAnsi="Candara"/>
        </w:rPr>
        <w:t xml:space="preserve">Your final result </w:t>
      </w:r>
      <w:r w:rsidR="008B3D05" w:rsidRPr="00D25CE0">
        <w:rPr>
          <w:rFonts w:ascii="Candara" w:hAnsi="Candara"/>
        </w:rPr>
        <w:t>should look like this:</w:t>
      </w:r>
      <w:r w:rsidR="008B3D05" w:rsidRPr="00D25CE0">
        <w:rPr>
          <w:rFonts w:ascii="Candara" w:hAnsi="Candara"/>
        </w:rPr>
        <w:br/>
      </w:r>
      <w:r w:rsidR="00B768B4" w:rsidRPr="00D25CE0">
        <w:rPr>
          <w:rFonts w:ascii="Candara" w:hAnsi="Candara"/>
          <w:noProof/>
        </w:rPr>
        <w:drawing>
          <wp:inline distT="0" distB="0" distL="0" distR="0">
            <wp:extent cx="4200525" cy="3667125"/>
            <wp:effectExtent l="19050" t="0" r="9525"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4200525" cy="3667125"/>
                    </a:xfrm>
                    <a:prstGeom prst="rect">
                      <a:avLst/>
                    </a:prstGeom>
                    <a:noFill/>
                    <a:ln w="9525">
                      <a:noFill/>
                      <a:miter lim="800000"/>
                      <a:headEnd/>
                      <a:tailEnd/>
                    </a:ln>
                  </pic:spPr>
                </pic:pic>
              </a:graphicData>
            </a:graphic>
          </wp:inline>
        </w:drawing>
      </w:r>
    </w:p>
    <w:p w:rsidR="000D52DD" w:rsidRDefault="000D52DD">
      <w:pPr>
        <w:spacing w:after="200" w:line="276" w:lineRule="auto"/>
        <w:rPr>
          <w:rFonts w:ascii="Candara" w:hAnsi="Candara"/>
        </w:rPr>
      </w:pPr>
      <w:r>
        <w:rPr>
          <w:rFonts w:ascii="Candara" w:hAnsi="Candara"/>
        </w:rPr>
        <w:br w:type="page"/>
      </w:r>
    </w:p>
    <w:p w:rsidR="000D52DD" w:rsidRPr="000D52DD" w:rsidRDefault="00730A2B" w:rsidP="000D52DD">
      <w:pPr>
        <w:numPr>
          <w:ilvl w:val="0"/>
          <w:numId w:val="2"/>
        </w:numPr>
        <w:rPr>
          <w:rFonts w:ascii="Candara" w:hAnsi="Candara"/>
        </w:rPr>
      </w:pPr>
      <w:r w:rsidRPr="00D25CE0">
        <w:rPr>
          <w:rFonts w:ascii="Candara" w:hAnsi="Candara"/>
          <w:b/>
          <w:bCs/>
        </w:rPr>
        <w:lastRenderedPageBreak/>
        <w:t>GRAMMARS</w:t>
      </w:r>
      <w:r w:rsidRPr="00D25CE0">
        <w:rPr>
          <w:rFonts w:ascii="Candara" w:hAnsi="Candara"/>
        </w:rPr>
        <w:t>:</w:t>
      </w:r>
      <w:r w:rsidR="000D52DD">
        <w:rPr>
          <w:rFonts w:ascii="Candara" w:hAnsi="Candara"/>
        </w:rPr>
        <w:t xml:space="preserve"> Click on the Grammars subtab.</w:t>
      </w:r>
      <w:r w:rsidRPr="00D25CE0">
        <w:rPr>
          <w:rFonts w:ascii="Candara" w:hAnsi="Candara"/>
        </w:rPr>
        <w:t xml:space="preserve"> I think it</w:t>
      </w:r>
      <w:r w:rsidR="000D52DD">
        <w:rPr>
          <w:rFonts w:ascii="Candara" w:hAnsi="Candara"/>
        </w:rPr>
        <w:t xml:space="preserve"> is easiest to select them all. (Note "Select all" at the </w:t>
      </w:r>
      <w:r w:rsidRPr="00D25CE0">
        <w:rPr>
          <w:rFonts w:ascii="Candara" w:hAnsi="Candara"/>
        </w:rPr>
        <w:t>bottom of window</w:t>
      </w:r>
      <w:r w:rsidR="000D52DD">
        <w:rPr>
          <w:rFonts w:ascii="Candara" w:hAnsi="Candara"/>
        </w:rPr>
        <w:t>.</w:t>
      </w:r>
      <w:r w:rsidRPr="00D25CE0">
        <w:rPr>
          <w:rFonts w:ascii="Candara" w:hAnsi="Candara"/>
        </w:rPr>
        <w:t>) I would put them in this order.</w:t>
      </w:r>
      <w:r w:rsidRPr="00D25CE0">
        <w:rPr>
          <w:rFonts w:ascii="Candara" w:hAnsi="Candara"/>
        </w:rPr>
        <w:br/>
      </w:r>
      <w:r w:rsidRPr="00D25CE0">
        <w:rPr>
          <w:rFonts w:ascii="Candara" w:hAnsi="Candara"/>
          <w:b/>
          <w:bCs/>
        </w:rPr>
        <w:t xml:space="preserve">GREEK: </w:t>
      </w:r>
    </w:p>
    <w:p w:rsidR="000D52DD" w:rsidRDefault="008B3D05" w:rsidP="000D52DD">
      <w:pPr>
        <w:numPr>
          <w:ilvl w:val="1"/>
          <w:numId w:val="2"/>
        </w:numPr>
        <w:rPr>
          <w:rFonts w:ascii="Candara" w:hAnsi="Candara"/>
        </w:rPr>
      </w:pPr>
      <w:r w:rsidRPr="00D25CE0">
        <w:rPr>
          <w:rFonts w:ascii="Candara" w:hAnsi="Candara"/>
        </w:rPr>
        <w:t>Wallace’s Exegetical Syntax = Greek Grammar Beyond the Basics</w:t>
      </w:r>
      <w:r w:rsidR="00730A2B" w:rsidRPr="00D25CE0">
        <w:rPr>
          <w:rFonts w:ascii="Candara" w:hAnsi="Candara"/>
        </w:rPr>
        <w:t>,</w:t>
      </w:r>
      <w:r w:rsidR="004F7774" w:rsidRPr="00D25CE0">
        <w:rPr>
          <w:rFonts w:ascii="Candara" w:hAnsi="Candara"/>
        </w:rPr>
        <w:t xml:space="preserve"> </w:t>
      </w:r>
      <w:r w:rsidR="004F7774" w:rsidRPr="00D25CE0">
        <w:rPr>
          <w:rFonts w:ascii="Candara" w:hAnsi="Candara"/>
          <w:b/>
          <w:bCs/>
          <w:i/>
          <w:iCs/>
        </w:rPr>
        <w:t>BDF</w:t>
      </w:r>
      <w:r w:rsidR="006E6E32" w:rsidRPr="00D25CE0">
        <w:rPr>
          <w:rFonts w:ascii="Candara" w:hAnsi="Candara"/>
        </w:rPr>
        <w:t>, Robertson</w:t>
      </w:r>
      <w:r w:rsidR="00730A2B" w:rsidRPr="00D25CE0">
        <w:rPr>
          <w:rFonts w:ascii="Candara" w:hAnsi="Candara"/>
        </w:rPr>
        <w:t xml:space="preserve">, </w:t>
      </w:r>
      <w:r w:rsidR="000168DE" w:rsidRPr="00D25CE0">
        <w:rPr>
          <w:rFonts w:ascii="Candara" w:hAnsi="Candara"/>
          <w:b/>
          <w:bCs/>
          <w:i/>
          <w:iCs/>
        </w:rPr>
        <w:t>Zerwick</w:t>
      </w:r>
      <w:r w:rsidR="000168DE" w:rsidRPr="00D25CE0">
        <w:rPr>
          <w:rFonts w:ascii="Candara" w:hAnsi="Candara"/>
        </w:rPr>
        <w:t xml:space="preserve">, </w:t>
      </w:r>
      <w:r w:rsidR="004F7774" w:rsidRPr="00D25CE0">
        <w:rPr>
          <w:rFonts w:ascii="Candara" w:hAnsi="Candara"/>
        </w:rPr>
        <w:t xml:space="preserve">Burton, </w:t>
      </w:r>
      <w:r w:rsidR="000168DE" w:rsidRPr="00D25CE0">
        <w:rPr>
          <w:rFonts w:ascii="Candara" w:hAnsi="Candara"/>
        </w:rPr>
        <w:t xml:space="preserve">Conybeare, Davis, </w:t>
      </w:r>
      <w:r w:rsidR="000168DE" w:rsidRPr="00D25CE0">
        <w:rPr>
          <w:rFonts w:ascii="Candara" w:hAnsi="Candara"/>
          <w:b/>
          <w:bCs/>
          <w:i/>
          <w:iCs/>
        </w:rPr>
        <w:t>Croy</w:t>
      </w:r>
      <w:r w:rsidR="000168DE" w:rsidRPr="00D25CE0">
        <w:rPr>
          <w:rFonts w:ascii="Candara" w:hAnsi="Candara"/>
        </w:rPr>
        <w:t xml:space="preserve">, </w:t>
      </w:r>
      <w:r w:rsidR="000168DE" w:rsidRPr="00D25CE0">
        <w:rPr>
          <w:rFonts w:ascii="Candara" w:hAnsi="Candara"/>
          <w:i/>
          <w:iCs/>
        </w:rPr>
        <w:t>Goodwin, Smyth</w:t>
      </w:r>
      <w:r w:rsidR="000168DE" w:rsidRPr="00D25CE0">
        <w:rPr>
          <w:rFonts w:ascii="Candara" w:hAnsi="Candara"/>
        </w:rPr>
        <w:t>, MacDonald, BibleWorks.</w:t>
      </w:r>
    </w:p>
    <w:p w:rsidR="008B3D05" w:rsidRPr="00D25CE0" w:rsidRDefault="00CD3C93" w:rsidP="000D52DD">
      <w:pPr>
        <w:numPr>
          <w:ilvl w:val="1"/>
          <w:numId w:val="2"/>
        </w:numPr>
        <w:rPr>
          <w:rFonts w:ascii="Candara" w:hAnsi="Candara"/>
        </w:rPr>
      </w:pPr>
      <w:r w:rsidRPr="00D25CE0">
        <w:rPr>
          <w:rFonts w:ascii="Candara" w:hAnsi="Candara"/>
          <w:b/>
          <w:bCs/>
        </w:rPr>
        <w:t xml:space="preserve">HEBREW: </w:t>
      </w:r>
      <w:r w:rsidR="006E6E32" w:rsidRPr="00D25CE0">
        <w:rPr>
          <w:rFonts w:ascii="Candara" w:hAnsi="Candara"/>
        </w:rPr>
        <w:t>Waltke &amp; O'Connor, Weingreen, Gesenius, Joüon-Muraoka</w:t>
      </w:r>
      <w:r w:rsidRPr="00D25CE0">
        <w:rPr>
          <w:rFonts w:ascii="Candara" w:hAnsi="Candara"/>
        </w:rPr>
        <w:t xml:space="preserve">, </w:t>
      </w:r>
      <w:r w:rsidRPr="00D25CE0">
        <w:rPr>
          <w:rFonts w:ascii="Candara" w:hAnsi="Candara"/>
          <w:b/>
          <w:bCs/>
          <w:i/>
          <w:iCs/>
        </w:rPr>
        <w:t>Futato's Basic Hebrew</w:t>
      </w:r>
      <w:r w:rsidRPr="00D25CE0">
        <w:rPr>
          <w:rFonts w:ascii="Candara" w:hAnsi="Candara"/>
        </w:rPr>
        <w:t xml:space="preserve">, Futato's Begininning Hebrew, </w:t>
      </w:r>
      <w:r w:rsidRPr="00D25CE0">
        <w:rPr>
          <w:rFonts w:ascii="Candara" w:hAnsi="Candara"/>
          <w:b/>
          <w:bCs/>
          <w:i/>
          <w:iCs/>
        </w:rPr>
        <w:t>Davidson</w:t>
      </w:r>
      <w:r w:rsidRPr="00D25CE0">
        <w:rPr>
          <w:rFonts w:ascii="Candara" w:hAnsi="Candara"/>
        </w:rPr>
        <w:t>, BibleWorks Hebrew, BibleWorks Aramaic</w:t>
      </w:r>
      <w:r w:rsidR="006E6E32" w:rsidRPr="00D25CE0">
        <w:rPr>
          <w:rFonts w:ascii="Candara" w:hAnsi="Candara"/>
        </w:rPr>
        <w:t>, Stevenson</w:t>
      </w:r>
      <w:r w:rsidRPr="00D25CE0">
        <w:rPr>
          <w:rFonts w:ascii="Candara" w:hAnsi="Candara"/>
        </w:rPr>
        <w:t>.</w:t>
      </w:r>
      <w:r w:rsidR="00116286">
        <w:rPr>
          <w:rFonts w:ascii="Candara" w:hAnsi="Candara"/>
        </w:rPr>
        <w:br/>
      </w:r>
      <w:r w:rsidR="00116286">
        <w:rPr>
          <w:rFonts w:ascii="Candara" w:hAnsi="Candara"/>
        </w:rPr>
        <w:br/>
      </w:r>
      <w:r w:rsidR="00707885" w:rsidRPr="00D25CE0">
        <w:rPr>
          <w:rFonts w:ascii="Candara" w:hAnsi="Candara"/>
          <w:noProof/>
        </w:rPr>
        <w:drawing>
          <wp:inline distT="0" distB="0" distL="0" distR="0">
            <wp:extent cx="4124325" cy="42576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4124325" cy="4257675"/>
                    </a:xfrm>
                    <a:prstGeom prst="rect">
                      <a:avLst/>
                    </a:prstGeom>
                    <a:noFill/>
                    <a:ln w="9525">
                      <a:noFill/>
                      <a:miter lim="800000"/>
                      <a:headEnd/>
                      <a:tailEnd/>
                    </a:ln>
                  </pic:spPr>
                </pic:pic>
              </a:graphicData>
            </a:graphic>
          </wp:inline>
        </w:drawing>
      </w:r>
    </w:p>
    <w:p w:rsidR="000D52DD" w:rsidRDefault="000D52DD">
      <w:pPr>
        <w:spacing w:after="200" w:line="276" w:lineRule="auto"/>
        <w:rPr>
          <w:rFonts w:ascii="Wingdings" w:hAnsi="Wingdings"/>
          <w:highlight w:val="lightGray"/>
        </w:rPr>
      </w:pPr>
      <w:r>
        <w:rPr>
          <w:rFonts w:ascii="Wingdings" w:hAnsi="Wingdings"/>
          <w:highlight w:val="lightGray"/>
        </w:rPr>
        <w:br w:type="page"/>
      </w:r>
    </w:p>
    <w:p w:rsidR="00FB3E80" w:rsidRPr="000D52DD" w:rsidRDefault="00CD3C93" w:rsidP="000D52DD">
      <w:pPr>
        <w:pStyle w:val="ListParagraph"/>
        <w:numPr>
          <w:ilvl w:val="0"/>
          <w:numId w:val="8"/>
        </w:numPr>
        <w:rPr>
          <w:rFonts w:ascii="Candara" w:hAnsi="Candara"/>
        </w:rPr>
      </w:pPr>
      <w:r w:rsidRPr="000D52DD">
        <w:rPr>
          <w:rFonts w:ascii="Candara" w:hAnsi="Candara"/>
          <w:b/>
          <w:bCs/>
        </w:rPr>
        <w:lastRenderedPageBreak/>
        <w:t xml:space="preserve">REFERENCES: </w:t>
      </w:r>
      <w:r w:rsidR="008B3D05" w:rsidRPr="000D52DD">
        <w:rPr>
          <w:rFonts w:ascii="Candara" w:hAnsi="Candara"/>
        </w:rPr>
        <w:t xml:space="preserve">I pretty much leave everything checked under the “References” tab, </w:t>
      </w:r>
      <w:r w:rsidR="000D52DD">
        <w:rPr>
          <w:rFonts w:ascii="Candara" w:hAnsi="Candara"/>
        </w:rPr>
        <w:t>but you can see by the graphic below some choices I make.</w:t>
      </w:r>
    </w:p>
    <w:p w:rsidR="00FB3E80" w:rsidRPr="00D25CE0" w:rsidRDefault="00410D2F" w:rsidP="000D52DD">
      <w:pPr>
        <w:numPr>
          <w:ilvl w:val="1"/>
          <w:numId w:val="2"/>
        </w:numPr>
        <w:rPr>
          <w:rFonts w:ascii="Candara" w:hAnsi="Candara"/>
        </w:rPr>
      </w:pPr>
      <w:r w:rsidRPr="00D25CE0">
        <w:rPr>
          <w:rFonts w:ascii="Candara" w:hAnsi="Candara"/>
        </w:rPr>
        <w:t xml:space="preserve">I uncheck a number of theological / confessional </w:t>
      </w:r>
      <w:r w:rsidR="000D52DD">
        <w:rPr>
          <w:rFonts w:ascii="Candara" w:hAnsi="Candara"/>
        </w:rPr>
        <w:t>resources</w:t>
      </w:r>
      <w:r w:rsidRPr="00D25CE0">
        <w:rPr>
          <w:rFonts w:ascii="Candara" w:hAnsi="Candara"/>
        </w:rPr>
        <w:t xml:space="preserve">. </w:t>
      </w:r>
      <w:r w:rsidR="008B3D05" w:rsidRPr="00D25CE0">
        <w:rPr>
          <w:rFonts w:ascii="Candara" w:hAnsi="Candara"/>
        </w:rPr>
        <w:t xml:space="preserve">I uncheck the Matthew Henry </w:t>
      </w:r>
      <w:r w:rsidR="00FB3E80" w:rsidRPr="00D25CE0">
        <w:rPr>
          <w:rFonts w:ascii="Candara" w:hAnsi="Candara"/>
        </w:rPr>
        <w:t xml:space="preserve">commentary. This commentary was </w:t>
      </w:r>
      <w:r w:rsidR="008B3D05" w:rsidRPr="00D25CE0">
        <w:rPr>
          <w:rFonts w:ascii="Candara" w:hAnsi="Candara"/>
        </w:rPr>
        <w:t xml:space="preserve">written in 1706. It may have devotional value, but it is not particularly reliable and certainly not up to date! </w:t>
      </w:r>
    </w:p>
    <w:p w:rsidR="00410D2F" w:rsidRPr="00D25CE0" w:rsidRDefault="003E76DC" w:rsidP="000E4535">
      <w:pPr>
        <w:numPr>
          <w:ilvl w:val="1"/>
          <w:numId w:val="2"/>
        </w:numPr>
        <w:rPr>
          <w:rFonts w:ascii="Candara" w:hAnsi="Candara"/>
        </w:rPr>
      </w:pPr>
      <w:r w:rsidRPr="00D25CE0">
        <w:rPr>
          <w:rFonts w:ascii="Candara" w:hAnsi="Candara"/>
        </w:rPr>
        <w:t>Note: I probably have many more here than you have on your system. Many of these are user-created modules that we wi</w:t>
      </w:r>
      <w:r w:rsidR="00FB3E80" w:rsidRPr="00D25CE0">
        <w:rPr>
          <w:rFonts w:ascii="Candara" w:hAnsi="Candara"/>
        </w:rPr>
        <w:t>ll learn later how to install.</w:t>
      </w:r>
      <w:r w:rsidR="000E4535" w:rsidRPr="00D25CE0">
        <w:rPr>
          <w:rFonts w:ascii="Candara" w:hAnsi="Candara"/>
        </w:rPr>
        <w:t xml:space="preserve"> </w:t>
      </w:r>
      <w:r w:rsidR="00410D2F" w:rsidRPr="00D25CE0">
        <w:rPr>
          <w:rFonts w:ascii="Candara" w:hAnsi="Candara"/>
        </w:rPr>
        <w:t xml:space="preserve">Some of mine may show up differently than yours. </w:t>
      </w:r>
    </w:p>
    <w:p w:rsidR="000E4535" w:rsidRPr="00D25CE0" w:rsidRDefault="008B3D05" w:rsidP="00F85B15">
      <w:pPr>
        <w:numPr>
          <w:ilvl w:val="1"/>
          <w:numId w:val="2"/>
        </w:numPr>
        <w:rPr>
          <w:rFonts w:ascii="Candara" w:hAnsi="Candara"/>
        </w:rPr>
      </w:pPr>
      <w:r w:rsidRPr="00D25CE0">
        <w:rPr>
          <w:rFonts w:ascii="Candara" w:hAnsi="Candara"/>
        </w:rPr>
        <w:t>You can see the ord</w:t>
      </w:r>
      <w:r w:rsidR="00EB751F" w:rsidRPr="00D25CE0">
        <w:rPr>
          <w:rFonts w:ascii="Candara" w:hAnsi="Candara"/>
        </w:rPr>
        <w:t>er and ones I’ve un/checked below. Basically I tried to organize the English resources thus</w:t>
      </w:r>
      <w:r w:rsidRPr="00D25CE0">
        <w:rPr>
          <w:rFonts w:ascii="Candara" w:hAnsi="Candara"/>
        </w:rPr>
        <w:t>:</w:t>
      </w:r>
      <w:r w:rsidR="00EB751F" w:rsidRPr="00D25CE0">
        <w:rPr>
          <w:rFonts w:ascii="Candara" w:hAnsi="Candara"/>
        </w:rPr>
        <w:t xml:space="preserve"> </w:t>
      </w:r>
      <w:r w:rsidR="000D52DD">
        <w:rPr>
          <w:rFonts w:ascii="Candara" w:hAnsi="Candara"/>
        </w:rPr>
        <w:br/>
      </w:r>
      <w:r w:rsidR="00EB751F" w:rsidRPr="00D25CE0">
        <w:rPr>
          <w:rFonts w:ascii="Candara" w:hAnsi="Candara"/>
        </w:rPr>
        <w:t xml:space="preserve">Bible; Grammar/Lexical (Latin); Reference; Commentary; Jewish; Historical, Early Church; Confessional, Theology; Maps; Illustrations. </w:t>
      </w:r>
      <w:r w:rsidR="00EB751F" w:rsidRPr="00D25CE0">
        <w:rPr>
          <w:rFonts w:ascii="Candara" w:hAnsi="Candara"/>
        </w:rPr>
        <w:br/>
        <w:t>The Greek ones simply have the codices to the bottom.</w:t>
      </w:r>
      <w:r w:rsidR="00F85B15">
        <w:rPr>
          <w:rFonts w:ascii="Candara" w:hAnsi="Candara"/>
        </w:rPr>
        <w:br/>
        <w:t>(Note: The ESV Study Bible and the NET Bible will show up in your Resources tab, but they are more easily accessible in BW9 in the Verse tab.</w:t>
      </w:r>
      <w:r w:rsidR="007D3038">
        <w:rPr>
          <w:rFonts w:ascii="Candara" w:hAnsi="Candara"/>
        </w:rPr>
        <w:t xml:space="preserve"> The same applies to the CNTTS Apparatus, Tischendorf's Apparatus, and Metzger's Textual Commentary.</w:t>
      </w:r>
      <w:r w:rsidR="00F85B15">
        <w:rPr>
          <w:rFonts w:ascii="Candara" w:hAnsi="Candara"/>
        </w:rPr>
        <w:t>)</w:t>
      </w:r>
    </w:p>
    <w:tbl>
      <w:tblPr>
        <w:tblStyle w:val="TableGrid"/>
        <w:tblW w:w="9198" w:type="dxa"/>
        <w:tblInd w:w="720" w:type="dxa"/>
        <w:tblLayout w:type="fixed"/>
        <w:tblLook w:val="04A0"/>
      </w:tblPr>
      <w:tblGrid>
        <w:gridCol w:w="4788"/>
        <w:gridCol w:w="4410"/>
      </w:tblGrid>
      <w:tr w:rsidR="000E4535" w:rsidRPr="00D25CE0" w:rsidTr="000E4535">
        <w:tc>
          <w:tcPr>
            <w:tcW w:w="4788" w:type="dxa"/>
          </w:tcPr>
          <w:p w:rsidR="000E4535" w:rsidRPr="00D25CE0" w:rsidRDefault="000E4535" w:rsidP="000E4535">
            <w:pPr>
              <w:rPr>
                <w:rFonts w:ascii="Candara" w:hAnsi="Candara"/>
              </w:rPr>
            </w:pPr>
            <w:r w:rsidRPr="00D25CE0">
              <w:rPr>
                <w:rFonts w:ascii="Candara" w:hAnsi="Candara"/>
                <w:noProof/>
              </w:rPr>
              <w:lastRenderedPageBreak/>
              <w:drawing>
                <wp:inline distT="0" distB="0" distL="0" distR="0">
                  <wp:extent cx="4067175" cy="7029450"/>
                  <wp:effectExtent l="1905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4067175" cy="7029450"/>
                          </a:xfrm>
                          <a:prstGeom prst="rect">
                            <a:avLst/>
                          </a:prstGeom>
                          <a:noFill/>
                          <a:ln w="9525">
                            <a:noFill/>
                            <a:miter lim="800000"/>
                            <a:headEnd/>
                            <a:tailEnd/>
                          </a:ln>
                        </pic:spPr>
                      </pic:pic>
                    </a:graphicData>
                  </a:graphic>
                </wp:inline>
              </w:drawing>
            </w:r>
          </w:p>
        </w:tc>
        <w:tc>
          <w:tcPr>
            <w:tcW w:w="4410" w:type="dxa"/>
          </w:tcPr>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p>
          <w:p w:rsidR="000E4535" w:rsidRPr="00D25CE0" w:rsidRDefault="000E4535" w:rsidP="000E4535">
            <w:pPr>
              <w:rPr>
                <w:rFonts w:ascii="Candara" w:hAnsi="Candara"/>
              </w:rPr>
            </w:pPr>
            <w:r w:rsidRPr="00D25CE0">
              <w:rPr>
                <w:rFonts w:ascii="Candara" w:hAnsi="Candara"/>
                <w:noProof/>
              </w:rPr>
              <w:drawing>
                <wp:inline distT="0" distB="0" distL="0" distR="0">
                  <wp:extent cx="2682586" cy="3966468"/>
                  <wp:effectExtent l="19050" t="0" r="3464"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2685007" cy="3970048"/>
                          </a:xfrm>
                          <a:prstGeom prst="rect">
                            <a:avLst/>
                          </a:prstGeom>
                          <a:noFill/>
                          <a:ln w="9525">
                            <a:noFill/>
                            <a:miter lim="800000"/>
                            <a:headEnd/>
                            <a:tailEnd/>
                          </a:ln>
                        </pic:spPr>
                      </pic:pic>
                    </a:graphicData>
                  </a:graphic>
                </wp:inline>
              </w:drawing>
            </w:r>
          </w:p>
        </w:tc>
      </w:tr>
    </w:tbl>
    <w:p w:rsidR="000D52DD" w:rsidRDefault="000D52DD" w:rsidP="000D52DD">
      <w:pPr>
        <w:rPr>
          <w:rFonts w:ascii="Candara" w:hAnsi="Candara"/>
        </w:rPr>
      </w:pPr>
      <w:bookmarkStart w:id="0" w:name="_GoBack"/>
      <w:bookmarkEnd w:id="0"/>
    </w:p>
    <w:p w:rsidR="008B3D05" w:rsidRPr="00D25CE0" w:rsidRDefault="008B3D05" w:rsidP="000D52DD">
      <w:pPr>
        <w:rPr>
          <w:rFonts w:ascii="Candara" w:hAnsi="Candara"/>
        </w:rPr>
      </w:pPr>
      <w:r w:rsidRPr="00D25CE0">
        <w:rPr>
          <w:rFonts w:ascii="Candara" w:hAnsi="Candara"/>
        </w:rPr>
        <w:t>Finally, click on the Summary sub-tab again so that it will be the focus when you return to the Resource panel.</w:t>
      </w:r>
    </w:p>
    <w:p w:rsidR="008B3D05" w:rsidRPr="00D25CE0" w:rsidRDefault="008B3D05" w:rsidP="008B3D05">
      <w:pPr>
        <w:rPr>
          <w:rFonts w:ascii="Candara" w:hAnsi="Candara"/>
        </w:rPr>
      </w:pPr>
    </w:p>
    <w:p w:rsidR="0074730C" w:rsidRDefault="0074730C">
      <w:pPr>
        <w:spacing w:after="200" w:line="276" w:lineRule="auto"/>
        <w:rPr>
          <w:rFonts w:ascii="Candara" w:hAnsi="Candara"/>
          <w:b/>
          <w:bCs/>
        </w:rPr>
      </w:pPr>
      <w:r>
        <w:rPr>
          <w:rFonts w:ascii="Candara" w:hAnsi="Candara"/>
          <w:b/>
          <w:bCs/>
        </w:rPr>
        <w:br w:type="page"/>
      </w:r>
    </w:p>
    <w:p w:rsidR="0074730C" w:rsidRDefault="0074730C" w:rsidP="0074730C">
      <w:pPr>
        <w:rPr>
          <w:rFonts w:ascii="Candara" w:hAnsi="Candara"/>
          <w:b/>
          <w:bCs/>
        </w:rPr>
      </w:pPr>
      <w:r>
        <w:rPr>
          <w:rFonts w:ascii="Candara" w:hAnsi="Candara"/>
          <w:b/>
          <w:bCs/>
        </w:rPr>
        <w:lastRenderedPageBreak/>
        <w:t>Using the</w:t>
      </w:r>
      <w:r w:rsidRPr="00D25CE0">
        <w:rPr>
          <w:rFonts w:ascii="Candara" w:hAnsi="Candara"/>
          <w:b/>
          <w:bCs/>
        </w:rPr>
        <w:t xml:space="preserve"> Resources</w:t>
      </w:r>
      <w:r>
        <w:rPr>
          <w:rFonts w:ascii="Candara" w:hAnsi="Candara"/>
          <w:b/>
          <w:bCs/>
        </w:rPr>
        <w:t xml:space="preserve"> in BW</w:t>
      </w:r>
    </w:p>
    <w:p w:rsidR="0074730C" w:rsidRDefault="0074730C" w:rsidP="0074730C">
      <w:pPr>
        <w:rPr>
          <w:rFonts w:ascii="Candara" w:hAnsi="Candara"/>
        </w:rPr>
      </w:pPr>
      <w:r>
        <w:rPr>
          <w:rFonts w:ascii="Candara" w:hAnsi="Candara"/>
        </w:rPr>
        <w:t xml:space="preserve">To see how to use the resources in BW, </w:t>
      </w:r>
      <w:r w:rsidR="004C77F1">
        <w:rPr>
          <w:rFonts w:ascii="Candara" w:hAnsi="Candara"/>
        </w:rPr>
        <w:t xml:space="preserve">let's do a little exercise. </w:t>
      </w:r>
    </w:p>
    <w:p w:rsidR="002B6BE7" w:rsidRDefault="004C77F1" w:rsidP="0074730C">
      <w:pPr>
        <w:rPr>
          <w:rFonts w:ascii="Candara" w:hAnsi="Candara"/>
        </w:rPr>
      </w:pPr>
      <w:r>
        <w:rPr>
          <w:rFonts w:ascii="Candara" w:hAnsi="Candara"/>
        </w:rPr>
        <w:t xml:space="preserve">First, </w:t>
      </w:r>
      <w:r w:rsidR="002B6BE7">
        <w:rPr>
          <w:rFonts w:ascii="Candara" w:hAnsi="Candara"/>
        </w:rPr>
        <w:t>in the Analysis window on the right, cl</w:t>
      </w:r>
      <w:r w:rsidR="00CD1077">
        <w:rPr>
          <w:rFonts w:ascii="Candara" w:hAnsi="Candara"/>
        </w:rPr>
        <w:t>ick on the Resources tab and its Summary subtab.</w:t>
      </w:r>
    </w:p>
    <w:p w:rsidR="004C77F1" w:rsidRDefault="002B6BE7" w:rsidP="0074730C">
      <w:pPr>
        <w:rPr>
          <w:rFonts w:ascii="Candara" w:hAnsi="Candara"/>
        </w:rPr>
      </w:pPr>
      <w:r>
        <w:rPr>
          <w:rFonts w:ascii="Candara" w:hAnsi="Candara"/>
        </w:rPr>
        <w:t xml:space="preserve">Second, </w:t>
      </w:r>
      <w:r w:rsidR="004C77F1">
        <w:rPr>
          <w:rFonts w:ascii="Candara" w:hAnsi="Candara"/>
        </w:rPr>
        <w:t>let's clear up the Browse window a bit by typing either:</w:t>
      </w:r>
    </w:p>
    <w:p w:rsidR="004C77F1" w:rsidRDefault="004C77F1" w:rsidP="004C77F1">
      <w:pPr>
        <w:pStyle w:val="ListParagraph"/>
        <w:numPr>
          <w:ilvl w:val="0"/>
          <w:numId w:val="8"/>
        </w:numPr>
        <w:rPr>
          <w:rFonts w:ascii="Candara" w:hAnsi="Candara"/>
        </w:rPr>
      </w:pPr>
      <w:r>
        <w:rPr>
          <w:rFonts w:ascii="Candara" w:hAnsi="Candara"/>
        </w:rPr>
        <w:t xml:space="preserve">d c fav </w:t>
      </w:r>
      <w:r w:rsidRPr="00EF431A">
        <w:rPr>
          <w:rFonts w:ascii="Lucida Sans Unicode" w:hAnsi="Lucida Sans Unicode"/>
        </w:rPr>
        <w:t>↵</w:t>
      </w:r>
      <w:r>
        <w:rPr>
          <w:rFonts w:ascii="Candara" w:hAnsi="Candara"/>
        </w:rPr>
        <w:t xml:space="preserve">    (d=display, c=clear everything out, fav=favorite IF you set this up in the earlier guide) </w:t>
      </w:r>
      <w:r>
        <w:rPr>
          <w:rFonts w:ascii="Candara" w:hAnsi="Candara"/>
        </w:rPr>
        <w:br/>
        <w:t>OR</w:t>
      </w:r>
    </w:p>
    <w:p w:rsidR="004C77F1" w:rsidRPr="004C77F1" w:rsidRDefault="004C77F1" w:rsidP="004C77F1">
      <w:pPr>
        <w:pStyle w:val="ListParagraph"/>
        <w:numPr>
          <w:ilvl w:val="0"/>
          <w:numId w:val="8"/>
        </w:numPr>
        <w:rPr>
          <w:rFonts w:ascii="Candara" w:hAnsi="Candara"/>
        </w:rPr>
      </w:pPr>
      <w:r>
        <w:rPr>
          <w:rFonts w:ascii="Candara" w:hAnsi="Candara"/>
        </w:rPr>
        <w:t xml:space="preserve">d c bgt nrs net  </w:t>
      </w:r>
      <w:r w:rsidRPr="00EF431A">
        <w:rPr>
          <w:rFonts w:ascii="Lucida Sans Unicode" w:hAnsi="Lucida Sans Unicode"/>
        </w:rPr>
        <w:t>↵</w:t>
      </w:r>
      <w:r>
        <w:rPr>
          <w:rFonts w:ascii="Lucida Sans Unicode" w:hAnsi="Lucida Sans Unicode"/>
        </w:rPr>
        <w:t xml:space="preserve"> </w:t>
      </w:r>
      <w:r>
        <w:rPr>
          <w:rFonts w:ascii="Candara" w:hAnsi="Candara"/>
        </w:rPr>
        <w:t xml:space="preserve"> (which just displays those three versions)</w:t>
      </w:r>
    </w:p>
    <w:p w:rsidR="004C77F1" w:rsidRDefault="004C77F1" w:rsidP="004C77F1">
      <w:pPr>
        <w:rPr>
          <w:rFonts w:ascii="Candara" w:hAnsi="Candara"/>
        </w:rPr>
      </w:pPr>
      <w:r>
        <w:rPr>
          <w:rFonts w:ascii="Candara" w:hAnsi="Candara"/>
        </w:rPr>
        <w:t>Now g</w:t>
      </w:r>
      <w:r w:rsidRPr="004C77F1">
        <w:rPr>
          <w:rFonts w:ascii="Candara" w:hAnsi="Candara"/>
        </w:rPr>
        <w:t>o to Mark 6:34 by</w:t>
      </w:r>
      <w:r>
        <w:rPr>
          <w:rFonts w:ascii="Candara" w:hAnsi="Candara"/>
        </w:rPr>
        <w:t xml:space="preserve"> using one of the following methods</w:t>
      </w:r>
      <w:r w:rsidRPr="004C77F1">
        <w:rPr>
          <w:rFonts w:ascii="Candara" w:hAnsi="Candara"/>
        </w:rPr>
        <w:t>:</w:t>
      </w:r>
    </w:p>
    <w:p w:rsidR="004C77F1" w:rsidRPr="004C77F1" w:rsidRDefault="004C77F1" w:rsidP="004C77F1">
      <w:pPr>
        <w:pStyle w:val="ListParagraph"/>
        <w:numPr>
          <w:ilvl w:val="0"/>
          <w:numId w:val="8"/>
        </w:numPr>
        <w:rPr>
          <w:rFonts w:ascii="Candara" w:hAnsi="Candara"/>
        </w:rPr>
      </w:pPr>
      <w:r>
        <w:rPr>
          <w:rFonts w:ascii="Candara" w:hAnsi="Candara"/>
        </w:rPr>
        <w:t>Command line method:</w:t>
      </w:r>
    </w:p>
    <w:p w:rsidR="004C77F1" w:rsidRDefault="004C77F1" w:rsidP="004C77F1">
      <w:pPr>
        <w:pStyle w:val="ListParagraph"/>
        <w:numPr>
          <w:ilvl w:val="1"/>
          <w:numId w:val="8"/>
        </w:numPr>
        <w:rPr>
          <w:rFonts w:ascii="Candara" w:hAnsi="Candara"/>
        </w:rPr>
      </w:pPr>
      <w:r>
        <w:rPr>
          <w:rFonts w:ascii="Candara" w:hAnsi="Candara"/>
        </w:rPr>
        <w:t>Click in command line (or hit ESC 2x)</w:t>
      </w:r>
    </w:p>
    <w:p w:rsidR="004C77F1" w:rsidRDefault="004C77F1" w:rsidP="004C77F1">
      <w:pPr>
        <w:pStyle w:val="ListParagraph"/>
        <w:numPr>
          <w:ilvl w:val="1"/>
          <w:numId w:val="8"/>
        </w:numPr>
        <w:rPr>
          <w:rFonts w:ascii="Candara" w:hAnsi="Candara"/>
        </w:rPr>
      </w:pPr>
      <w:r>
        <w:rPr>
          <w:rFonts w:ascii="Candara" w:hAnsi="Candara"/>
        </w:rPr>
        <w:t>For most Bible books, you only need to type the first 3 letters. (You don't need to capitalize.) To indicate chapter and verse, you can use as a separator either a colon, comma, period, or space. (I find it easiest to use a space.) So:</w:t>
      </w:r>
    </w:p>
    <w:p w:rsidR="004C77F1" w:rsidRPr="004C77F1" w:rsidRDefault="004C77F1" w:rsidP="004C77F1">
      <w:pPr>
        <w:pStyle w:val="ListParagraph"/>
        <w:numPr>
          <w:ilvl w:val="1"/>
          <w:numId w:val="8"/>
        </w:numPr>
        <w:rPr>
          <w:rFonts w:ascii="Candara" w:hAnsi="Candara"/>
        </w:rPr>
      </w:pPr>
      <w:r>
        <w:rPr>
          <w:rFonts w:ascii="Candara" w:hAnsi="Candara"/>
        </w:rPr>
        <w:t xml:space="preserve">type: mar 6 34 </w:t>
      </w:r>
      <w:r w:rsidRPr="00EF431A">
        <w:rPr>
          <w:rFonts w:ascii="Lucida Sans Unicode" w:hAnsi="Lucida Sans Unicode"/>
        </w:rPr>
        <w:t>↵</w:t>
      </w:r>
    </w:p>
    <w:p w:rsidR="00EB751F" w:rsidRPr="004C77F1" w:rsidRDefault="004C77F1" w:rsidP="004C77F1">
      <w:pPr>
        <w:pStyle w:val="ListParagraph"/>
        <w:numPr>
          <w:ilvl w:val="0"/>
          <w:numId w:val="8"/>
        </w:numPr>
        <w:spacing w:after="200" w:line="276" w:lineRule="auto"/>
        <w:rPr>
          <w:rFonts w:ascii="Candara" w:hAnsi="Candara"/>
          <w:b/>
          <w:bCs/>
        </w:rPr>
      </w:pPr>
      <w:r>
        <w:rPr>
          <w:rFonts w:ascii="Candara" w:hAnsi="Candara"/>
        </w:rPr>
        <w:t>Click and pick method</w:t>
      </w:r>
    </w:p>
    <w:p w:rsidR="004C77F1" w:rsidRPr="002B6BE7" w:rsidRDefault="00AB6726" w:rsidP="004C77F1">
      <w:pPr>
        <w:pStyle w:val="ListParagraph"/>
        <w:numPr>
          <w:ilvl w:val="1"/>
          <w:numId w:val="8"/>
        </w:numPr>
        <w:spacing w:after="200" w:line="276" w:lineRule="auto"/>
        <w:rPr>
          <w:rFonts w:ascii="Candara" w:hAnsi="Candara"/>
        </w:rPr>
      </w:pPr>
      <w:r>
        <w:rPr>
          <w:rFonts w:ascii="Candara" w:hAnsi="Candara"/>
        </w:rPr>
        <w:t>At the top of the Browse window, next to the little footprints, use the dropdown boxes so that you end up with this:</w:t>
      </w:r>
      <w:r>
        <w:rPr>
          <w:rFonts w:ascii="Candara" w:hAnsi="Candara"/>
        </w:rPr>
        <w:br/>
      </w:r>
      <w:r w:rsidRPr="002B6BE7">
        <w:rPr>
          <w:rFonts w:ascii="Candara" w:hAnsi="Candara"/>
          <w:noProof/>
          <w:lang w:bidi="ar-SA"/>
        </w:rPr>
        <w:drawing>
          <wp:inline distT="0" distB="0" distL="0" distR="0">
            <wp:extent cx="4169410" cy="563245"/>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169410" cy="563245"/>
                    </a:xfrm>
                    <a:prstGeom prst="rect">
                      <a:avLst/>
                    </a:prstGeom>
                    <a:noFill/>
                    <a:ln w="9525">
                      <a:noFill/>
                      <a:miter lim="800000"/>
                      <a:headEnd/>
                      <a:tailEnd/>
                    </a:ln>
                  </pic:spPr>
                </pic:pic>
              </a:graphicData>
            </a:graphic>
          </wp:inline>
        </w:drawing>
      </w:r>
    </w:p>
    <w:p w:rsidR="002B6BE7" w:rsidRDefault="002B6BE7" w:rsidP="002B6BE7">
      <w:pPr>
        <w:spacing w:after="200" w:line="276" w:lineRule="auto"/>
        <w:rPr>
          <w:rFonts w:ascii="Candara" w:hAnsi="Candara"/>
        </w:rPr>
      </w:pPr>
      <w:r>
        <w:rPr>
          <w:rFonts w:ascii="Candara" w:hAnsi="Candara"/>
        </w:rPr>
        <w:t xml:space="preserve">Next, move your mouse around over the Greek text. You should see things changing in </w:t>
      </w:r>
      <w:r w:rsidR="00CD1077">
        <w:rPr>
          <w:rFonts w:ascii="Candara" w:hAnsi="Candara"/>
        </w:rPr>
        <w:t xml:space="preserve">the Resource tab. Move your mouse over the word </w:t>
      </w:r>
      <w:r w:rsidR="00CD1077">
        <w:rPr>
          <w:rFonts w:ascii="Cardo" w:eastAsiaTheme="minorHAnsi" w:hAnsi="Cardo" w:cs="Cardo"/>
          <w:lang w:val="el-GR" w:bidi="he-IL"/>
        </w:rPr>
        <w:t>ἐσπλαγχνίσθη</w:t>
      </w:r>
      <w:r w:rsidR="00CD1077">
        <w:rPr>
          <w:rFonts w:ascii="Candara" w:hAnsi="Candara"/>
        </w:rPr>
        <w:t>, and you should see something (almost) like this:</w:t>
      </w:r>
      <w:r w:rsidR="00CD1077">
        <w:rPr>
          <w:rFonts w:ascii="Candara" w:hAnsi="Candara"/>
        </w:rPr>
        <w:br/>
      </w:r>
      <w:r w:rsidR="008F6819">
        <w:rPr>
          <w:rFonts w:ascii="Candara" w:hAnsi="Candara"/>
          <w:noProof/>
        </w:rPr>
        <w:drawing>
          <wp:inline distT="0" distB="0" distL="0" distR="0">
            <wp:extent cx="5943600" cy="3776114"/>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943600" cy="3776114"/>
                    </a:xfrm>
                    <a:prstGeom prst="rect">
                      <a:avLst/>
                    </a:prstGeom>
                    <a:noFill/>
                    <a:ln w="9525">
                      <a:noFill/>
                      <a:miter lim="800000"/>
                      <a:headEnd/>
                      <a:tailEnd/>
                    </a:ln>
                  </pic:spPr>
                </pic:pic>
              </a:graphicData>
            </a:graphic>
          </wp:inline>
        </w:drawing>
      </w:r>
    </w:p>
    <w:p w:rsidR="008651B8" w:rsidRDefault="008651B8" w:rsidP="008651B8">
      <w:pPr>
        <w:rPr>
          <w:rFonts w:ascii="Candara" w:hAnsi="Candara"/>
        </w:rPr>
      </w:pPr>
      <w:r>
        <w:rPr>
          <w:rFonts w:ascii="Candara" w:hAnsi="Candara"/>
        </w:rPr>
        <w:lastRenderedPageBreak/>
        <w:t>When using the Resource tab, you should note that:</w:t>
      </w:r>
    </w:p>
    <w:p w:rsidR="008651B8" w:rsidRDefault="008651B8" w:rsidP="008651B8">
      <w:pPr>
        <w:pStyle w:val="ListParagraph"/>
        <w:numPr>
          <w:ilvl w:val="0"/>
          <w:numId w:val="9"/>
        </w:numPr>
        <w:rPr>
          <w:rFonts w:ascii="Candara" w:hAnsi="Candara"/>
        </w:rPr>
      </w:pPr>
      <w:r>
        <w:rPr>
          <w:rFonts w:ascii="Candara" w:hAnsi="Candara"/>
        </w:rPr>
        <w:t>To keep the items in the Resource tab from changing as you move the mouse around, hold down the SHIFT key as you move the mouse. This freezes the Resource tab for the moment.</w:t>
      </w:r>
    </w:p>
    <w:p w:rsidR="008651B8" w:rsidRDefault="008651B8" w:rsidP="008651B8">
      <w:pPr>
        <w:pStyle w:val="ListParagraph"/>
        <w:numPr>
          <w:ilvl w:val="0"/>
          <w:numId w:val="9"/>
        </w:numPr>
        <w:rPr>
          <w:rFonts w:ascii="Candara" w:hAnsi="Candara"/>
        </w:rPr>
      </w:pPr>
      <w:r>
        <w:rPr>
          <w:rFonts w:ascii="Candara" w:hAnsi="Candara"/>
        </w:rPr>
        <w:t>The colored bars correspond to the various resources you just set up: purplish for lexicons, pink for grammars, and green for other references.</w:t>
      </w:r>
    </w:p>
    <w:p w:rsidR="008651B8" w:rsidRDefault="008651B8" w:rsidP="008651B8">
      <w:pPr>
        <w:pStyle w:val="ListParagraph"/>
        <w:numPr>
          <w:ilvl w:val="0"/>
          <w:numId w:val="9"/>
        </w:numPr>
        <w:rPr>
          <w:rFonts w:ascii="Candara" w:hAnsi="Candara"/>
        </w:rPr>
      </w:pPr>
      <w:r>
        <w:rPr>
          <w:rFonts w:ascii="Candara" w:hAnsi="Candara"/>
        </w:rPr>
        <w:t>Clicking on the colored bars does nothing.</w:t>
      </w:r>
    </w:p>
    <w:p w:rsidR="008651B8" w:rsidRDefault="008651B8" w:rsidP="008651B8">
      <w:pPr>
        <w:pStyle w:val="ListParagraph"/>
        <w:numPr>
          <w:ilvl w:val="0"/>
          <w:numId w:val="9"/>
        </w:numPr>
        <w:rPr>
          <w:rFonts w:ascii="Candara" w:hAnsi="Candara"/>
        </w:rPr>
      </w:pPr>
      <w:r>
        <w:rPr>
          <w:rFonts w:ascii="Candara" w:hAnsi="Candara"/>
        </w:rPr>
        <w:t>Note, for example, under the Gingrich Lexicon that the word the mouse is over is the first entry. BW is indicating that this word is in the lexicon.</w:t>
      </w:r>
      <w:r w:rsidR="008F41C4">
        <w:rPr>
          <w:rFonts w:ascii="Candara" w:hAnsi="Candara"/>
        </w:rPr>
        <w:t xml:space="preserve"> Clicking on it will bring you to that word in the lexicon.</w:t>
      </w:r>
    </w:p>
    <w:p w:rsidR="008651B8" w:rsidRDefault="008651B8" w:rsidP="008F41C4">
      <w:pPr>
        <w:pStyle w:val="ListParagraph"/>
        <w:numPr>
          <w:ilvl w:val="0"/>
          <w:numId w:val="9"/>
        </w:numPr>
        <w:rPr>
          <w:rFonts w:ascii="Candara" w:hAnsi="Candara"/>
        </w:rPr>
      </w:pPr>
      <w:r>
        <w:rPr>
          <w:rFonts w:ascii="Candara" w:hAnsi="Candara"/>
        </w:rPr>
        <w:t xml:space="preserve">Note also, however, that below that first entry are 3 additional entries that start out with "Ref: Mar 6:34." </w:t>
      </w:r>
      <w:r w:rsidR="008F41C4">
        <w:rPr>
          <w:rFonts w:ascii="Candara" w:hAnsi="Candara"/>
        </w:rPr>
        <w:t xml:space="preserve">These are other words in this verse, and </w:t>
      </w:r>
      <w:r>
        <w:rPr>
          <w:rFonts w:ascii="Candara" w:hAnsi="Candara"/>
        </w:rPr>
        <w:t xml:space="preserve">BW is indicating that there is a specific reference to that word </w:t>
      </w:r>
      <w:r w:rsidR="008F41C4">
        <w:rPr>
          <w:rFonts w:ascii="Candara" w:hAnsi="Candara"/>
        </w:rPr>
        <w:t xml:space="preserve">and it's occurrence in this verse. Clicking on one of those will bring you to that word in the lexicon with the passage reference highlighted. </w:t>
      </w:r>
    </w:p>
    <w:p w:rsidR="008F41C4" w:rsidRDefault="008F6819" w:rsidP="008F6819">
      <w:pPr>
        <w:pStyle w:val="ListParagraph"/>
        <w:numPr>
          <w:ilvl w:val="0"/>
          <w:numId w:val="9"/>
        </w:numPr>
        <w:rPr>
          <w:rFonts w:ascii="Candara" w:hAnsi="Candara"/>
        </w:rPr>
      </w:pPr>
      <w:r>
        <w:rPr>
          <w:rFonts w:ascii="Candara" w:hAnsi="Candara"/>
        </w:rPr>
        <w:t xml:space="preserve">This is particularly important for the instances under Wallace, </w:t>
      </w:r>
      <w:r>
        <w:rPr>
          <w:rFonts w:ascii="Candara" w:hAnsi="Candara"/>
          <w:i/>
          <w:iCs/>
        </w:rPr>
        <w:t>Exegetical Syntax of the NT</w:t>
      </w:r>
      <w:r>
        <w:rPr>
          <w:rFonts w:ascii="Candara" w:hAnsi="Candara"/>
        </w:rPr>
        <w:t xml:space="preserve">. BW has recognized that there is at least one occurrence of a verb in the Indicative Mood and/or Aorist Tense and/or Passive Voice. If you click on one of those, it will bring you to general discussions of these topics. You will see that there is also one line for "Ref:Mar 6:34 in </w:t>
      </w:r>
      <w:r>
        <w:rPr>
          <w:rFonts w:ascii="Candara" w:hAnsi="Candara"/>
          <w:i/>
          <w:iCs/>
        </w:rPr>
        <w:t>Imperfect Tense</w:t>
      </w:r>
      <w:r>
        <w:rPr>
          <w:rFonts w:ascii="Candara" w:hAnsi="Candara"/>
        </w:rPr>
        <w:t xml:space="preserve">." This will bring you to a specific reference to Mark 6.34 in Wallace's grammar regarding a verb in the imperfect tense in this verse. (In this instance it happens to link to a footnote citing Mark 6.34 and suggesting that the imperfect </w:t>
      </w:r>
      <w:r>
        <w:rPr>
          <w:rFonts w:ascii="Cardo" w:eastAsiaTheme="minorHAnsi" w:hAnsi="Cardo" w:cs="Cardo"/>
          <w:lang w:val="el-GR"/>
        </w:rPr>
        <w:t>διδάσκειν</w:t>
      </w:r>
      <w:r>
        <w:rPr>
          <w:rFonts w:ascii="Candara" w:eastAsiaTheme="minorHAnsi" w:hAnsi="Candara" w:cstheme="minorBidi"/>
        </w:rPr>
        <w:t xml:space="preserve"> </w:t>
      </w:r>
      <w:r>
        <w:rPr>
          <w:rFonts w:ascii="Candara" w:hAnsi="Candara"/>
        </w:rPr>
        <w:t xml:space="preserve">in the verse should be taken ingressively. </w:t>
      </w:r>
    </w:p>
    <w:p w:rsidR="008F6819" w:rsidRDefault="008F6819" w:rsidP="008F6819">
      <w:pPr>
        <w:rPr>
          <w:rFonts w:ascii="Candara" w:hAnsi="Candara"/>
        </w:rPr>
      </w:pPr>
      <w:r>
        <w:rPr>
          <w:rFonts w:ascii="Candara" w:hAnsi="Candara"/>
        </w:rPr>
        <w:t>Go ahead and click on some of the links in the Resource tab to see what they are and how you can use them!</w:t>
      </w:r>
    </w:p>
    <w:p w:rsidR="00172512" w:rsidRDefault="00172512" w:rsidP="008F6819">
      <w:pPr>
        <w:rPr>
          <w:rFonts w:ascii="Candara" w:hAnsi="Candara"/>
        </w:rPr>
      </w:pPr>
    </w:p>
    <w:p w:rsidR="00172512" w:rsidRPr="00EF431A" w:rsidRDefault="00172512" w:rsidP="00172512">
      <w:pPr>
        <w:rPr>
          <w:rFonts w:ascii="Candara" w:hAnsi="Candara"/>
        </w:rPr>
      </w:pPr>
      <w:hyperlink r:id="rId11" w:history="1">
        <w:r w:rsidRPr="00B11D00">
          <w:rPr>
            <w:rStyle w:val="Hyperlink"/>
            <w:rFonts w:ascii="Candara" w:hAnsi="Candara"/>
          </w:rPr>
          <w:t>mgvh</w:t>
        </w:r>
      </w:hyperlink>
    </w:p>
    <w:p w:rsidR="00172512" w:rsidRPr="00385218" w:rsidRDefault="00172512" w:rsidP="00172512">
      <w:pPr>
        <w:rPr>
          <w:rFonts w:ascii="Candara" w:hAnsi="Candara"/>
        </w:rPr>
      </w:pPr>
      <w:r>
        <w:rPr>
          <w:rFonts w:ascii="Candara" w:hAnsi="Candara"/>
        </w:rPr>
        <w:t>2012.09</w:t>
      </w:r>
    </w:p>
    <w:p w:rsidR="00172512" w:rsidRPr="008F6819" w:rsidRDefault="00172512" w:rsidP="008F6819">
      <w:pPr>
        <w:rPr>
          <w:rFonts w:ascii="Candara" w:hAnsi="Candara"/>
        </w:rPr>
      </w:pPr>
    </w:p>
    <w:sectPr w:rsidR="00172512" w:rsidRPr="008F6819" w:rsidSect="000D52D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rdo">
    <w:panose1 w:val="02020600000000000000"/>
    <w:charset w:val="00"/>
    <w:family w:val="roman"/>
    <w:pitch w:val="variable"/>
    <w:sig w:usb0="E40008FF" w:usb1="5201E0FB" w:usb2="04608000" w:usb3="00000000" w:csb0="000000B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684"/>
    <w:multiLevelType w:val="hybridMultilevel"/>
    <w:tmpl w:val="DECE48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163"/>
    <w:multiLevelType w:val="hybridMultilevel"/>
    <w:tmpl w:val="1758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172FA"/>
    <w:multiLevelType w:val="hybridMultilevel"/>
    <w:tmpl w:val="42DEB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B41613"/>
    <w:multiLevelType w:val="hybridMultilevel"/>
    <w:tmpl w:val="E15C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B3E5C"/>
    <w:multiLevelType w:val="hybridMultilevel"/>
    <w:tmpl w:val="4648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63B01"/>
    <w:multiLevelType w:val="hybridMultilevel"/>
    <w:tmpl w:val="9AC27C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D95C3E"/>
    <w:multiLevelType w:val="hybridMultilevel"/>
    <w:tmpl w:val="EB48C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F419D6"/>
    <w:multiLevelType w:val="hybridMultilevel"/>
    <w:tmpl w:val="9F7841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8021D0"/>
    <w:multiLevelType w:val="hybridMultilevel"/>
    <w:tmpl w:val="BEEC0E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4"/>
  </w:num>
  <w:num w:numId="6">
    <w:abstractNumId w:val="1"/>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B3D05"/>
    <w:rsid w:val="000168DE"/>
    <w:rsid w:val="000443F5"/>
    <w:rsid w:val="00095584"/>
    <w:rsid w:val="000B683A"/>
    <w:rsid w:val="000D52DD"/>
    <w:rsid w:val="000E4535"/>
    <w:rsid w:val="00116286"/>
    <w:rsid w:val="00123BB3"/>
    <w:rsid w:val="00172512"/>
    <w:rsid w:val="001C7444"/>
    <w:rsid w:val="001D67C8"/>
    <w:rsid w:val="002030D1"/>
    <w:rsid w:val="002214BD"/>
    <w:rsid w:val="00222DC8"/>
    <w:rsid w:val="002237D4"/>
    <w:rsid w:val="00231B5E"/>
    <w:rsid w:val="00261146"/>
    <w:rsid w:val="002A795D"/>
    <w:rsid w:val="002B6BE7"/>
    <w:rsid w:val="002C0D21"/>
    <w:rsid w:val="002E7FE3"/>
    <w:rsid w:val="003369F5"/>
    <w:rsid w:val="0034071D"/>
    <w:rsid w:val="003434B0"/>
    <w:rsid w:val="00373E9C"/>
    <w:rsid w:val="003E76DC"/>
    <w:rsid w:val="00410D2F"/>
    <w:rsid w:val="004338C3"/>
    <w:rsid w:val="00441DC5"/>
    <w:rsid w:val="00496128"/>
    <w:rsid w:val="004B1060"/>
    <w:rsid w:val="004B1F2C"/>
    <w:rsid w:val="004C77F1"/>
    <w:rsid w:val="004D392C"/>
    <w:rsid w:val="004E5F9D"/>
    <w:rsid w:val="004F7774"/>
    <w:rsid w:val="0052133E"/>
    <w:rsid w:val="0054242D"/>
    <w:rsid w:val="005456DE"/>
    <w:rsid w:val="0059656C"/>
    <w:rsid w:val="005A5A2B"/>
    <w:rsid w:val="006102C2"/>
    <w:rsid w:val="00642312"/>
    <w:rsid w:val="006E6E32"/>
    <w:rsid w:val="00707885"/>
    <w:rsid w:val="00725942"/>
    <w:rsid w:val="00730A2B"/>
    <w:rsid w:val="0074730C"/>
    <w:rsid w:val="00750139"/>
    <w:rsid w:val="007D3038"/>
    <w:rsid w:val="007F4382"/>
    <w:rsid w:val="00840023"/>
    <w:rsid w:val="00862393"/>
    <w:rsid w:val="008651B8"/>
    <w:rsid w:val="00874FA1"/>
    <w:rsid w:val="008B3D05"/>
    <w:rsid w:val="008E4035"/>
    <w:rsid w:val="008F0E7B"/>
    <w:rsid w:val="008F41C4"/>
    <w:rsid w:val="008F6819"/>
    <w:rsid w:val="00964E9C"/>
    <w:rsid w:val="00972706"/>
    <w:rsid w:val="0097776B"/>
    <w:rsid w:val="00AB1AAC"/>
    <w:rsid w:val="00AB6726"/>
    <w:rsid w:val="00AE36AD"/>
    <w:rsid w:val="00B239A8"/>
    <w:rsid w:val="00B768B4"/>
    <w:rsid w:val="00B82320"/>
    <w:rsid w:val="00B83468"/>
    <w:rsid w:val="00BE22D2"/>
    <w:rsid w:val="00C2489B"/>
    <w:rsid w:val="00C36FAB"/>
    <w:rsid w:val="00C70D81"/>
    <w:rsid w:val="00C85724"/>
    <w:rsid w:val="00CC5737"/>
    <w:rsid w:val="00CD1077"/>
    <w:rsid w:val="00CD3C93"/>
    <w:rsid w:val="00D1775E"/>
    <w:rsid w:val="00D25CE0"/>
    <w:rsid w:val="00D4084C"/>
    <w:rsid w:val="00DB35EA"/>
    <w:rsid w:val="00E45482"/>
    <w:rsid w:val="00E75044"/>
    <w:rsid w:val="00E76990"/>
    <w:rsid w:val="00EA0CFC"/>
    <w:rsid w:val="00EB751F"/>
    <w:rsid w:val="00EC7793"/>
    <w:rsid w:val="00EF17EE"/>
    <w:rsid w:val="00F075D5"/>
    <w:rsid w:val="00F31281"/>
    <w:rsid w:val="00F6493A"/>
    <w:rsid w:val="00F82B6C"/>
    <w:rsid w:val="00F85B15"/>
    <w:rsid w:val="00F940E6"/>
    <w:rsid w:val="00FB3E80"/>
    <w:rsid w:val="00FD2E4E"/>
    <w:rsid w:val="00FD7E70"/>
    <w:rsid w:val="00FF2E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D0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B239A8"/>
    <w:pPr>
      <w:spacing w:after="0" w:line="480" w:lineRule="auto"/>
    </w:pPr>
    <w:rPr>
      <w:sz w:val="24"/>
    </w:rPr>
  </w:style>
  <w:style w:type="character" w:styleId="Hyperlink">
    <w:name w:val="Hyperlink"/>
    <w:basedOn w:val="DefaultParagraphFont"/>
    <w:rsid w:val="008B3D05"/>
    <w:rPr>
      <w:color w:val="0000FF"/>
      <w:u w:val="single"/>
    </w:rPr>
  </w:style>
  <w:style w:type="character" w:styleId="Emphasis">
    <w:name w:val="Emphasis"/>
    <w:basedOn w:val="DefaultParagraphFont"/>
    <w:uiPriority w:val="20"/>
    <w:qFormat/>
    <w:rsid w:val="008B3D05"/>
    <w:rPr>
      <w:i/>
      <w:iCs/>
    </w:rPr>
  </w:style>
  <w:style w:type="character" w:styleId="Strong">
    <w:name w:val="Strong"/>
    <w:basedOn w:val="DefaultParagraphFont"/>
    <w:uiPriority w:val="22"/>
    <w:qFormat/>
    <w:rsid w:val="008B3D05"/>
    <w:rPr>
      <w:b/>
      <w:bCs/>
    </w:rPr>
  </w:style>
  <w:style w:type="paragraph" w:styleId="ListParagraph">
    <w:name w:val="List Paragraph"/>
    <w:basedOn w:val="Normal"/>
    <w:uiPriority w:val="34"/>
    <w:qFormat/>
    <w:rsid w:val="008B3D05"/>
    <w:pPr>
      <w:ind w:left="720"/>
      <w:contextualSpacing/>
    </w:pPr>
    <w:rPr>
      <w:rFonts w:ascii="Calibri" w:eastAsia="Calibri" w:hAnsi="Calibri" w:cs="Arial"/>
      <w:szCs w:val="22"/>
      <w:lang w:bidi="he-IL"/>
    </w:rPr>
  </w:style>
  <w:style w:type="paragraph" w:styleId="BalloonText">
    <w:name w:val="Balloon Text"/>
    <w:basedOn w:val="Normal"/>
    <w:link w:val="BalloonTextChar"/>
    <w:uiPriority w:val="99"/>
    <w:semiHidden/>
    <w:unhideWhenUsed/>
    <w:rsid w:val="008B3D05"/>
    <w:rPr>
      <w:rFonts w:ascii="Tahoma" w:hAnsi="Tahoma" w:cs="Tahoma"/>
      <w:sz w:val="16"/>
      <w:szCs w:val="16"/>
    </w:rPr>
  </w:style>
  <w:style w:type="character" w:customStyle="1" w:styleId="BalloonTextChar">
    <w:name w:val="Balloon Text Char"/>
    <w:basedOn w:val="DefaultParagraphFont"/>
    <w:link w:val="BalloonText"/>
    <w:uiPriority w:val="99"/>
    <w:semiHidden/>
    <w:rsid w:val="008B3D05"/>
    <w:rPr>
      <w:rFonts w:ascii="Tahoma" w:eastAsia="Times New Roman" w:hAnsi="Tahoma" w:cs="Tahoma"/>
      <w:sz w:val="16"/>
      <w:szCs w:val="16"/>
      <w:lang w:bidi="ar-SA"/>
    </w:rPr>
  </w:style>
  <w:style w:type="table" w:styleId="TableGrid">
    <w:name w:val="Table Grid"/>
    <w:basedOn w:val="TableNormal"/>
    <w:uiPriority w:val="59"/>
    <w:rsid w:val="000E45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22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9"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rollandscreen.com"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CrossMarks</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 Hoffman</dc:creator>
  <cp:keywords/>
  <dc:description/>
  <cp:lastModifiedBy>Mark V Hoffman</cp:lastModifiedBy>
  <cp:revision>30</cp:revision>
  <dcterms:created xsi:type="dcterms:W3CDTF">2011-10-03T02:05:00Z</dcterms:created>
  <dcterms:modified xsi:type="dcterms:W3CDTF">2012-09-11T02:48:00Z</dcterms:modified>
</cp:coreProperties>
</file>